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1F" w:rsidRPr="008C6F0C" w:rsidRDefault="0085441F" w:rsidP="0085441F">
      <w:pPr>
        <w:rPr>
          <w:b/>
          <w:sz w:val="12"/>
          <w:szCs w:val="12"/>
          <w:u w:val="single"/>
        </w:rPr>
      </w:pPr>
      <w:r w:rsidRPr="008C6F0C">
        <w:rPr>
          <w:b/>
          <w:sz w:val="12"/>
          <w:szCs w:val="12"/>
          <w:u w:val="single"/>
        </w:rPr>
        <w:t>Билет №29</w:t>
      </w:r>
    </w:p>
    <w:p w:rsidR="0085441F" w:rsidRPr="008C6F0C" w:rsidRDefault="0085441F" w:rsidP="0085441F">
      <w:pPr>
        <w:rPr>
          <w:b/>
          <w:sz w:val="12"/>
          <w:szCs w:val="12"/>
          <w:u w:val="single"/>
        </w:rPr>
      </w:pPr>
      <w:r w:rsidRPr="008C6F0C">
        <w:rPr>
          <w:sz w:val="12"/>
          <w:szCs w:val="12"/>
          <w:u w:val="single"/>
        </w:rPr>
        <w:t xml:space="preserve">1. </w:t>
      </w:r>
      <w:r w:rsidRPr="008C6F0C">
        <w:rPr>
          <w:b/>
          <w:sz w:val="12"/>
          <w:szCs w:val="12"/>
          <w:u w:val="single"/>
        </w:rPr>
        <w:t>Потенциальное поле и его свойства. Вычисл</w:t>
      </w:r>
      <w:r w:rsidRPr="008C6F0C">
        <w:rPr>
          <w:b/>
          <w:sz w:val="12"/>
          <w:szCs w:val="12"/>
          <w:u w:val="single"/>
        </w:rPr>
        <w:t>е</w:t>
      </w:r>
      <w:r w:rsidRPr="008C6F0C">
        <w:rPr>
          <w:b/>
          <w:sz w:val="12"/>
          <w:szCs w:val="12"/>
          <w:u w:val="single"/>
        </w:rPr>
        <w:t>ние линейного интеграла в потенциальном поле</w:t>
      </w:r>
    </w:p>
    <w:p w:rsidR="0085441F" w:rsidRPr="008C6F0C" w:rsidRDefault="0085441F" w:rsidP="0085441F">
      <w:pPr>
        <w:rPr>
          <w:sz w:val="12"/>
          <w:szCs w:val="12"/>
        </w:rPr>
      </w:pPr>
      <w:r w:rsidRPr="008C6F0C">
        <w:rPr>
          <w:b/>
          <w:sz w:val="12"/>
          <w:szCs w:val="12"/>
        </w:rPr>
        <w:t>Определение потенциального поля.</w:t>
      </w:r>
      <w:r w:rsidRPr="008C6F0C">
        <w:rPr>
          <w:sz w:val="12"/>
          <w:szCs w:val="12"/>
        </w:rPr>
        <w:t xml:space="preserve"> Векторное поле </w:t>
      </w:r>
      <w:r w:rsidRPr="008C6F0C">
        <w:rPr>
          <w:b/>
          <w:i/>
          <w:position w:val="-6"/>
          <w:sz w:val="12"/>
          <w:szCs w:val="12"/>
          <w:lang w:val="en-US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25pt;height:7.5pt" o:ole="" fillcolor="window">
            <v:imagedata r:id="rId4" o:title=""/>
          </v:shape>
          <o:OLEObject Type="Embed" ProgID="Equation.3" ShapeID="_x0000_i1025" DrawAspect="Content" ObjectID="_1324714673" r:id="rId5"/>
        </w:object>
      </w:r>
      <w:r w:rsidRPr="008C6F0C">
        <w:rPr>
          <w:sz w:val="12"/>
          <w:szCs w:val="12"/>
        </w:rPr>
        <w:t>(</w:t>
      </w:r>
      <w:r w:rsidRPr="008C6F0C">
        <w:rPr>
          <w:b/>
          <w:i/>
          <w:sz w:val="12"/>
          <w:szCs w:val="12"/>
          <w:lang w:val="en-US"/>
        </w:rPr>
        <w:t>M</w:t>
      </w:r>
      <w:r w:rsidRPr="008C6F0C">
        <w:rPr>
          <w:sz w:val="12"/>
          <w:szCs w:val="12"/>
        </w:rPr>
        <w:t>) называется потенциал</w:t>
      </w:r>
      <w:r w:rsidRPr="008C6F0C">
        <w:rPr>
          <w:sz w:val="12"/>
          <w:szCs w:val="12"/>
        </w:rPr>
        <w:t>ь</w:t>
      </w:r>
      <w:r w:rsidRPr="008C6F0C">
        <w:rPr>
          <w:sz w:val="12"/>
          <w:szCs w:val="12"/>
        </w:rPr>
        <w:t xml:space="preserve">ным в области </w:t>
      </w:r>
      <w:r w:rsidRPr="008C6F0C">
        <w:rPr>
          <w:b/>
          <w:i/>
          <w:sz w:val="12"/>
          <w:szCs w:val="12"/>
          <w:lang w:val="en-US"/>
        </w:rPr>
        <w:t>V</w:t>
      </w:r>
      <w:r w:rsidRPr="008C6F0C">
        <w:rPr>
          <w:sz w:val="12"/>
          <w:szCs w:val="12"/>
        </w:rPr>
        <w:t xml:space="preserve">, если существует такое скалярное поле </w:t>
      </w:r>
      <w:r w:rsidRPr="008C6F0C">
        <w:rPr>
          <w:position w:val="-10"/>
          <w:sz w:val="12"/>
          <w:szCs w:val="12"/>
          <w:lang w:val="en-US"/>
        </w:rPr>
        <w:object w:dxaOrig="639" w:dyaOrig="320">
          <v:shape id="_x0000_i1026" type="#_x0000_t75" style="width:27.75pt;height:9pt" o:ole="" fillcolor="window">
            <v:imagedata r:id="rId6" o:title=""/>
          </v:shape>
          <o:OLEObject Type="Embed" ProgID="Equation.3" ShapeID="_x0000_i1026" DrawAspect="Content" ObjectID="_1324714674" r:id="rId7"/>
        </w:object>
      </w:r>
      <w:r w:rsidRPr="008C6F0C">
        <w:rPr>
          <w:sz w:val="12"/>
          <w:szCs w:val="12"/>
        </w:rPr>
        <w:t xml:space="preserve">, что </w:t>
      </w:r>
      <w:r w:rsidRPr="008C6F0C">
        <w:rPr>
          <w:b/>
          <w:i/>
          <w:position w:val="-6"/>
          <w:sz w:val="12"/>
          <w:szCs w:val="12"/>
          <w:lang w:val="en-US"/>
        </w:rPr>
        <w:object w:dxaOrig="220" w:dyaOrig="260">
          <v:shape id="_x0000_i1027" type="#_x0000_t75" style="width:11.25pt;height:9pt" o:ole="" fillcolor="window">
            <v:imagedata r:id="rId8" o:title=""/>
          </v:shape>
          <o:OLEObject Type="Embed" ProgID="Equation.3" ShapeID="_x0000_i1027" DrawAspect="Content" ObjectID="_1324714675" r:id="rId9"/>
        </w:object>
      </w:r>
      <w:r w:rsidRPr="008C6F0C">
        <w:rPr>
          <w:sz w:val="12"/>
          <w:szCs w:val="12"/>
        </w:rPr>
        <w:t>(</w:t>
      </w:r>
      <w:r w:rsidRPr="008C6F0C">
        <w:rPr>
          <w:b/>
          <w:i/>
          <w:sz w:val="12"/>
          <w:szCs w:val="12"/>
          <w:lang w:val="en-US"/>
        </w:rPr>
        <w:t>M</w:t>
      </w:r>
      <w:r w:rsidRPr="008C6F0C">
        <w:rPr>
          <w:sz w:val="12"/>
          <w:szCs w:val="12"/>
        </w:rPr>
        <w:t>)</w:t>
      </w:r>
      <w:r w:rsidRPr="008C6F0C">
        <w:rPr>
          <w:position w:val="-10"/>
          <w:sz w:val="12"/>
          <w:szCs w:val="12"/>
          <w:lang w:val="en-US"/>
        </w:rPr>
        <w:object w:dxaOrig="1280" w:dyaOrig="320">
          <v:shape id="_x0000_i1028" type="#_x0000_t75" style="width:63.75pt;height:9pt" o:ole="" fillcolor="window">
            <v:imagedata r:id="rId10" o:title=""/>
          </v:shape>
          <o:OLEObject Type="Embed" ProgID="Equation.3" ShapeID="_x0000_i1028" DrawAspect="Content" ObjectID="_1324714676" r:id="rId11"/>
        </w:object>
      </w:r>
      <w:r w:rsidRPr="008C6F0C">
        <w:rPr>
          <w:sz w:val="12"/>
          <w:szCs w:val="12"/>
        </w:rPr>
        <w:t xml:space="preserve"> </w:t>
      </w:r>
      <w:proofErr w:type="gramStart"/>
      <w:r w:rsidRPr="008C6F0C">
        <w:rPr>
          <w:sz w:val="12"/>
          <w:szCs w:val="12"/>
        </w:rPr>
        <w:t>для</w:t>
      </w:r>
      <w:proofErr w:type="gramEnd"/>
      <w:r w:rsidRPr="008C6F0C">
        <w:rPr>
          <w:sz w:val="12"/>
          <w:szCs w:val="12"/>
        </w:rPr>
        <w:t xml:space="preserve"> </w:t>
      </w:r>
      <w:r w:rsidRPr="008C6F0C">
        <w:rPr>
          <w:position w:val="-6"/>
          <w:sz w:val="12"/>
          <w:szCs w:val="12"/>
          <w:lang w:val="en-US"/>
        </w:rPr>
        <w:object w:dxaOrig="900" w:dyaOrig="279">
          <v:shape id="_x0000_i1029" type="#_x0000_t75" style="width:45pt;height:9pt" o:ole="" fillcolor="window">
            <v:imagedata r:id="rId12" o:title=""/>
          </v:shape>
          <o:OLEObject Type="Embed" ProgID="Equation.3" ShapeID="_x0000_i1029" DrawAspect="Content" ObjectID="_1324714677" r:id="rId13"/>
        </w:object>
      </w:r>
      <w:r w:rsidRPr="008C6F0C">
        <w:rPr>
          <w:sz w:val="12"/>
          <w:szCs w:val="12"/>
        </w:rPr>
        <w:t xml:space="preserve">. </w:t>
      </w:r>
      <w:proofErr w:type="gramStart"/>
      <w:r w:rsidRPr="008C6F0C">
        <w:rPr>
          <w:sz w:val="12"/>
          <w:szCs w:val="12"/>
        </w:rPr>
        <w:t>Поле</w:t>
      </w:r>
      <w:proofErr w:type="gramEnd"/>
      <w:r w:rsidRPr="008C6F0C">
        <w:rPr>
          <w:sz w:val="12"/>
          <w:szCs w:val="12"/>
        </w:rPr>
        <w:t xml:space="preserve"> </w:t>
      </w:r>
      <w:r w:rsidRPr="008C6F0C">
        <w:rPr>
          <w:position w:val="-10"/>
          <w:sz w:val="12"/>
          <w:szCs w:val="12"/>
          <w:lang w:val="en-US"/>
        </w:rPr>
        <w:object w:dxaOrig="639" w:dyaOrig="320">
          <v:shape id="_x0000_i1030" type="#_x0000_t75" style="width:20.25pt;height:8.25pt" o:ole="" fillcolor="window">
            <v:imagedata r:id="rId14" o:title=""/>
          </v:shape>
          <o:OLEObject Type="Embed" ProgID="Equation.3" ShapeID="_x0000_i1030" DrawAspect="Content" ObjectID="_1324714678" r:id="rId15"/>
        </w:object>
      </w:r>
      <w:r w:rsidRPr="008C6F0C">
        <w:rPr>
          <w:sz w:val="12"/>
          <w:szCs w:val="12"/>
        </w:rPr>
        <w:t xml:space="preserve"> называется потенциалом поля </w:t>
      </w:r>
      <w:r w:rsidRPr="008C6F0C">
        <w:rPr>
          <w:b/>
          <w:i/>
          <w:position w:val="-6"/>
          <w:sz w:val="12"/>
          <w:szCs w:val="12"/>
          <w:lang w:val="en-US"/>
        </w:rPr>
        <w:object w:dxaOrig="220" w:dyaOrig="260">
          <v:shape id="_x0000_i1031" type="#_x0000_t75" style="width:11.25pt;height:9pt" o:ole="" fillcolor="window">
            <v:imagedata r:id="rId4" o:title=""/>
          </v:shape>
          <o:OLEObject Type="Embed" ProgID="Equation.3" ShapeID="_x0000_i1031" DrawAspect="Content" ObjectID="_1324714679" r:id="rId16"/>
        </w:object>
      </w:r>
      <w:r w:rsidRPr="008C6F0C">
        <w:rPr>
          <w:sz w:val="12"/>
          <w:szCs w:val="12"/>
        </w:rPr>
        <w:t>(</w:t>
      </w:r>
      <w:r w:rsidRPr="008C6F0C">
        <w:rPr>
          <w:b/>
          <w:i/>
          <w:sz w:val="12"/>
          <w:szCs w:val="12"/>
          <w:lang w:val="en-US"/>
        </w:rPr>
        <w:t>M</w:t>
      </w:r>
      <w:r w:rsidRPr="008C6F0C">
        <w:rPr>
          <w:sz w:val="12"/>
          <w:szCs w:val="12"/>
        </w:rPr>
        <w:t>).</w:t>
      </w:r>
    </w:p>
    <w:p w:rsidR="0085441F" w:rsidRPr="008C6F0C" w:rsidRDefault="0085441F" w:rsidP="0085441F">
      <w:pPr>
        <w:rPr>
          <w:sz w:val="12"/>
          <w:szCs w:val="12"/>
        </w:rPr>
      </w:pPr>
      <w:r w:rsidRPr="008C6F0C">
        <w:rPr>
          <w:b/>
          <w:sz w:val="12"/>
          <w:szCs w:val="12"/>
        </w:rPr>
        <w:t xml:space="preserve">Свойства потенциального поля.  </w:t>
      </w:r>
      <w:r w:rsidRPr="008C6F0C">
        <w:rPr>
          <w:sz w:val="12"/>
          <w:szCs w:val="12"/>
        </w:rPr>
        <w:t>1. Потенциал опр</w:t>
      </w:r>
      <w:r w:rsidRPr="008C6F0C">
        <w:rPr>
          <w:sz w:val="12"/>
          <w:szCs w:val="12"/>
        </w:rPr>
        <w:t>е</w:t>
      </w:r>
      <w:r w:rsidRPr="008C6F0C">
        <w:rPr>
          <w:sz w:val="12"/>
          <w:szCs w:val="12"/>
        </w:rPr>
        <w:t xml:space="preserve">делён с точностью </w:t>
      </w:r>
      <w:proofErr w:type="gramStart"/>
      <w:r w:rsidRPr="008C6F0C">
        <w:rPr>
          <w:sz w:val="12"/>
          <w:szCs w:val="12"/>
        </w:rPr>
        <w:t>до</w:t>
      </w:r>
      <w:proofErr w:type="gramEnd"/>
      <w:r w:rsidRPr="008C6F0C">
        <w:rPr>
          <w:sz w:val="12"/>
          <w:szCs w:val="12"/>
        </w:rPr>
        <w:t xml:space="preserve"> произвольной постоянной (</w:t>
      </w:r>
      <w:r w:rsidRPr="008C6F0C">
        <w:rPr>
          <w:position w:val="-10"/>
          <w:sz w:val="12"/>
          <w:szCs w:val="12"/>
          <w:lang w:val="en-US"/>
        </w:rPr>
        <w:object w:dxaOrig="2060" w:dyaOrig="320">
          <v:shape id="_x0000_i1032" type="#_x0000_t75" style="width:66.75pt;height:8.25pt" o:ole="" fillcolor="window">
            <v:imagedata r:id="rId17" o:title=""/>
          </v:shape>
          <o:OLEObject Type="Embed" ProgID="Equation.3" ShapeID="_x0000_i1032" DrawAspect="Content" ObjectID="_1324714680" r:id="rId18"/>
        </w:object>
      </w:r>
      <w:r w:rsidRPr="008C6F0C">
        <w:rPr>
          <w:sz w:val="12"/>
          <w:szCs w:val="12"/>
        </w:rPr>
        <w:t>).</w:t>
      </w:r>
    </w:p>
    <w:p w:rsidR="0085441F" w:rsidRPr="008C6F0C" w:rsidRDefault="0085441F" w:rsidP="0085441F">
      <w:pPr>
        <w:rPr>
          <w:sz w:val="12"/>
          <w:szCs w:val="12"/>
        </w:rPr>
      </w:pPr>
      <w:r w:rsidRPr="008C6F0C">
        <w:rPr>
          <w:sz w:val="12"/>
          <w:szCs w:val="12"/>
        </w:rPr>
        <w:t xml:space="preserve">2. Разность потенциалов в двух точках </w:t>
      </w:r>
      <w:r w:rsidRPr="008C6F0C">
        <w:rPr>
          <w:position w:val="-10"/>
          <w:sz w:val="12"/>
          <w:szCs w:val="12"/>
          <w:lang w:val="en-US"/>
        </w:rPr>
        <w:object w:dxaOrig="1760" w:dyaOrig="340">
          <v:shape id="_x0000_i1033" type="#_x0000_t75" style="width:74.25pt;height:9.75pt" o:ole="" fillcolor="window">
            <v:imagedata r:id="rId19" o:title=""/>
          </v:shape>
          <o:OLEObject Type="Embed" ProgID="Equation.3" ShapeID="_x0000_i1033" DrawAspect="Content" ObjectID="_1324714681" r:id="rId20"/>
        </w:object>
      </w:r>
      <w:r w:rsidRPr="008C6F0C">
        <w:rPr>
          <w:sz w:val="12"/>
          <w:szCs w:val="12"/>
        </w:rPr>
        <w:t xml:space="preserve"> </w:t>
      </w:r>
      <w:proofErr w:type="spellStart"/>
      <w:r w:rsidRPr="008C6F0C">
        <w:rPr>
          <w:sz w:val="12"/>
          <w:szCs w:val="12"/>
        </w:rPr>
        <w:t>опр-лена</w:t>
      </w:r>
      <w:proofErr w:type="spellEnd"/>
      <w:r w:rsidRPr="008C6F0C">
        <w:rPr>
          <w:sz w:val="12"/>
          <w:szCs w:val="12"/>
        </w:rPr>
        <w:t xml:space="preserve"> одн</w:t>
      </w:r>
      <w:r w:rsidRPr="008C6F0C">
        <w:rPr>
          <w:sz w:val="12"/>
          <w:szCs w:val="12"/>
        </w:rPr>
        <w:t>о</w:t>
      </w:r>
      <w:r w:rsidRPr="008C6F0C">
        <w:rPr>
          <w:sz w:val="12"/>
          <w:szCs w:val="12"/>
        </w:rPr>
        <w:t>значно.</w:t>
      </w:r>
    </w:p>
    <w:p w:rsidR="0085441F" w:rsidRPr="008C6F0C" w:rsidRDefault="0085441F" w:rsidP="0085441F">
      <w:pPr>
        <w:rPr>
          <w:sz w:val="12"/>
          <w:szCs w:val="12"/>
        </w:rPr>
      </w:pPr>
      <w:r w:rsidRPr="008C6F0C">
        <w:rPr>
          <w:sz w:val="12"/>
          <w:szCs w:val="12"/>
        </w:rPr>
        <w:t xml:space="preserve">3. Если поле </w:t>
      </w:r>
      <w:r w:rsidRPr="008C6F0C">
        <w:rPr>
          <w:b/>
          <w:i/>
          <w:position w:val="-6"/>
          <w:sz w:val="12"/>
          <w:szCs w:val="12"/>
          <w:lang w:val="en-US"/>
        </w:rPr>
        <w:object w:dxaOrig="220" w:dyaOrig="260">
          <v:shape id="_x0000_i1034" type="#_x0000_t75" style="width:11.25pt;height:9pt" o:ole="" fillcolor="window">
            <v:imagedata r:id="rId4" o:title=""/>
          </v:shape>
          <o:OLEObject Type="Embed" ProgID="Equation.3" ShapeID="_x0000_i1034" DrawAspect="Content" ObjectID="_1324714682" r:id="rId21"/>
        </w:object>
      </w:r>
      <w:r w:rsidRPr="008C6F0C">
        <w:rPr>
          <w:sz w:val="12"/>
          <w:szCs w:val="12"/>
        </w:rPr>
        <w:t>(</w:t>
      </w:r>
      <w:r w:rsidRPr="008C6F0C">
        <w:rPr>
          <w:b/>
          <w:i/>
          <w:sz w:val="12"/>
          <w:szCs w:val="12"/>
          <w:lang w:val="en-US"/>
        </w:rPr>
        <w:t>M</w:t>
      </w:r>
      <w:r w:rsidRPr="008C6F0C">
        <w:rPr>
          <w:sz w:val="12"/>
          <w:szCs w:val="12"/>
        </w:rPr>
        <w:t xml:space="preserve">) потенциально, то линейный интеграл этого поля по любой кривой </w:t>
      </w:r>
      <w:r w:rsidRPr="008C6F0C">
        <w:rPr>
          <w:position w:val="-4"/>
          <w:sz w:val="12"/>
          <w:szCs w:val="12"/>
          <w:lang w:val="en-US"/>
        </w:rPr>
        <w:object w:dxaOrig="420" w:dyaOrig="480">
          <v:shape id="_x0000_i1035" type="#_x0000_t75" style="width:21pt;height:11.25pt" o:ole="" fillcolor="window">
            <v:imagedata r:id="rId22" o:title=""/>
          </v:shape>
          <o:OLEObject Type="Embed" ProgID="Equation.3" ShapeID="_x0000_i1035" DrawAspect="Content" ObjectID="_1324714683" r:id="rId23"/>
        </w:object>
      </w:r>
      <w:r w:rsidRPr="008C6F0C">
        <w:rPr>
          <w:sz w:val="12"/>
          <w:szCs w:val="12"/>
        </w:rPr>
        <w:t xml:space="preserve">, целиком лежащей в </w:t>
      </w:r>
      <w:r w:rsidRPr="008C6F0C">
        <w:rPr>
          <w:b/>
          <w:i/>
          <w:sz w:val="12"/>
          <w:szCs w:val="12"/>
          <w:lang w:val="en-US"/>
        </w:rPr>
        <w:t>V</w:t>
      </w:r>
      <w:r w:rsidRPr="008C6F0C">
        <w:rPr>
          <w:sz w:val="12"/>
          <w:szCs w:val="12"/>
        </w:rPr>
        <w:t>, определяется только начальной и коне</w:t>
      </w:r>
      <w:r w:rsidRPr="008C6F0C">
        <w:rPr>
          <w:sz w:val="12"/>
          <w:szCs w:val="12"/>
        </w:rPr>
        <w:t>ч</w:t>
      </w:r>
      <w:r w:rsidRPr="008C6F0C">
        <w:rPr>
          <w:sz w:val="12"/>
          <w:szCs w:val="12"/>
        </w:rPr>
        <w:t xml:space="preserve">ной точками этой кривой, и не зависит от формы кривой. </w:t>
      </w:r>
      <w:r w:rsidRPr="008C6F0C">
        <w:rPr>
          <w:position w:val="-52"/>
          <w:sz w:val="12"/>
          <w:szCs w:val="12"/>
          <w:lang w:val="en-US"/>
        </w:rPr>
        <w:object w:dxaOrig="3519" w:dyaOrig="800">
          <v:shape id="_x0000_i1036" type="#_x0000_t75" style="width:128.25pt;height:19.5pt" o:ole="" fillcolor="window">
            <v:imagedata r:id="rId24" o:title=""/>
          </v:shape>
          <o:OLEObject Type="Embed" ProgID="Equation.3" ShapeID="_x0000_i1036" DrawAspect="Content" ObjectID="_1324714684" r:id="rId25"/>
        </w:object>
      </w:r>
      <w:r w:rsidRPr="008C6F0C">
        <w:rPr>
          <w:sz w:val="12"/>
          <w:szCs w:val="12"/>
        </w:rPr>
        <w:t xml:space="preserve"> </w:t>
      </w:r>
      <w:r w:rsidRPr="008C6F0C">
        <w:rPr>
          <w:position w:val="-52"/>
          <w:sz w:val="12"/>
          <w:szCs w:val="12"/>
          <w:lang w:val="en-US"/>
        </w:rPr>
        <w:object w:dxaOrig="5880" w:dyaOrig="900">
          <v:shape id="_x0000_i1037" type="#_x0000_t75" style="width:143.25pt;height:18pt" o:ole="" fillcolor="window">
            <v:imagedata r:id="rId26" o:title=""/>
          </v:shape>
          <o:OLEObject Type="Embed" ProgID="Equation.3" ShapeID="_x0000_i1037" DrawAspect="Content" ObjectID="_1324714685" r:id="rId27"/>
        </w:object>
      </w:r>
      <w:r w:rsidRPr="008C6F0C">
        <w:rPr>
          <w:sz w:val="12"/>
          <w:szCs w:val="12"/>
        </w:rPr>
        <w:t>Эта формула является обобщ</w:t>
      </w:r>
      <w:r w:rsidRPr="008C6F0C">
        <w:rPr>
          <w:sz w:val="12"/>
          <w:szCs w:val="12"/>
        </w:rPr>
        <w:t>е</w:t>
      </w:r>
      <w:r w:rsidRPr="008C6F0C">
        <w:rPr>
          <w:sz w:val="12"/>
          <w:szCs w:val="12"/>
        </w:rPr>
        <w:t>нием формулы Ньютона-Лейбница для потенциал</w:t>
      </w:r>
      <w:r w:rsidRPr="008C6F0C">
        <w:rPr>
          <w:sz w:val="12"/>
          <w:szCs w:val="12"/>
        </w:rPr>
        <w:t>ь</w:t>
      </w:r>
      <w:r w:rsidRPr="008C6F0C">
        <w:rPr>
          <w:sz w:val="12"/>
          <w:szCs w:val="12"/>
        </w:rPr>
        <w:t>ного поля.</w:t>
      </w:r>
    </w:p>
    <w:p w:rsidR="0085441F" w:rsidRPr="008C6F0C" w:rsidRDefault="0085441F" w:rsidP="0085441F">
      <w:pPr>
        <w:rPr>
          <w:sz w:val="12"/>
          <w:szCs w:val="12"/>
        </w:rPr>
      </w:pPr>
      <w:r w:rsidRPr="008C6F0C">
        <w:rPr>
          <w:sz w:val="12"/>
          <w:szCs w:val="12"/>
        </w:rPr>
        <w:t xml:space="preserve">4. Циркуляция потенциального в области </w:t>
      </w:r>
      <w:r w:rsidRPr="008C6F0C">
        <w:rPr>
          <w:b/>
          <w:i/>
          <w:sz w:val="12"/>
          <w:szCs w:val="12"/>
          <w:lang w:val="en-US"/>
        </w:rPr>
        <w:t>V</w:t>
      </w:r>
      <w:r w:rsidRPr="008C6F0C">
        <w:rPr>
          <w:sz w:val="12"/>
          <w:szCs w:val="12"/>
        </w:rPr>
        <w:t xml:space="preserve"> поля по любому контуру, лежащему в </w:t>
      </w:r>
      <w:r w:rsidRPr="008C6F0C">
        <w:rPr>
          <w:b/>
          <w:i/>
          <w:sz w:val="12"/>
          <w:szCs w:val="12"/>
          <w:lang w:val="en-US"/>
        </w:rPr>
        <w:t>V</w:t>
      </w:r>
      <w:r w:rsidRPr="008C6F0C">
        <w:rPr>
          <w:sz w:val="12"/>
          <w:szCs w:val="12"/>
        </w:rPr>
        <w:t xml:space="preserve">, равна нулю. </w:t>
      </w:r>
    </w:p>
    <w:p w:rsidR="0085441F" w:rsidRPr="008C6F0C" w:rsidRDefault="0085441F" w:rsidP="0085441F">
      <w:pPr>
        <w:rPr>
          <w:sz w:val="12"/>
          <w:szCs w:val="12"/>
        </w:rPr>
      </w:pPr>
      <w:r w:rsidRPr="008C6F0C">
        <w:rPr>
          <w:sz w:val="12"/>
          <w:szCs w:val="12"/>
        </w:rPr>
        <w:t xml:space="preserve">5. Векторная линия потенциального поля в каждой точке </w:t>
      </w:r>
      <w:r w:rsidRPr="008C6F0C">
        <w:rPr>
          <w:b/>
          <w:i/>
          <w:sz w:val="12"/>
          <w:szCs w:val="12"/>
        </w:rPr>
        <w:t>М</w:t>
      </w:r>
      <w:r w:rsidRPr="008C6F0C">
        <w:rPr>
          <w:sz w:val="12"/>
          <w:szCs w:val="12"/>
        </w:rPr>
        <w:t xml:space="preserve"> ортогональна эквипотенциальной поверхности </w:t>
      </w:r>
      <w:proofErr w:type="gramStart"/>
      <w:r w:rsidRPr="008C6F0C">
        <w:rPr>
          <w:sz w:val="12"/>
          <w:szCs w:val="12"/>
        </w:rPr>
        <w:t xml:space="preserve">( </w:t>
      </w:r>
      <w:proofErr w:type="gramEnd"/>
      <w:r w:rsidRPr="008C6F0C">
        <w:rPr>
          <w:sz w:val="12"/>
          <w:szCs w:val="12"/>
        </w:rPr>
        <w:t>т.е. поверхности уровня потенциала), проходящей через то</w:t>
      </w:r>
      <w:r w:rsidRPr="008C6F0C">
        <w:rPr>
          <w:sz w:val="12"/>
          <w:szCs w:val="12"/>
        </w:rPr>
        <w:t>ч</w:t>
      </w:r>
      <w:r w:rsidRPr="008C6F0C">
        <w:rPr>
          <w:sz w:val="12"/>
          <w:szCs w:val="12"/>
        </w:rPr>
        <w:t xml:space="preserve">ку </w:t>
      </w:r>
      <w:r w:rsidRPr="008C6F0C">
        <w:rPr>
          <w:b/>
          <w:i/>
          <w:sz w:val="12"/>
          <w:szCs w:val="12"/>
        </w:rPr>
        <w:t>М</w:t>
      </w:r>
      <w:r w:rsidRPr="008C6F0C">
        <w:rPr>
          <w:sz w:val="12"/>
          <w:szCs w:val="12"/>
        </w:rPr>
        <w:t xml:space="preserve">. </w:t>
      </w:r>
    </w:p>
    <w:p w:rsidR="0085441F" w:rsidRPr="008C6F0C" w:rsidRDefault="0085441F" w:rsidP="0085441F">
      <w:pPr>
        <w:rPr>
          <w:sz w:val="12"/>
          <w:szCs w:val="12"/>
        </w:rPr>
      </w:pPr>
      <w:r w:rsidRPr="008C6F0C">
        <w:rPr>
          <w:sz w:val="12"/>
          <w:szCs w:val="12"/>
        </w:rPr>
        <w:t>6. Ротор потенциального векторного поля равен н</w:t>
      </w:r>
      <w:r w:rsidRPr="008C6F0C">
        <w:rPr>
          <w:sz w:val="12"/>
          <w:szCs w:val="12"/>
        </w:rPr>
        <w:t>у</w:t>
      </w:r>
      <w:r w:rsidRPr="008C6F0C">
        <w:rPr>
          <w:sz w:val="12"/>
          <w:szCs w:val="12"/>
        </w:rPr>
        <w:t xml:space="preserve">лю: </w:t>
      </w:r>
      <w:r w:rsidRPr="008C6F0C">
        <w:rPr>
          <w:position w:val="-142"/>
          <w:sz w:val="12"/>
          <w:szCs w:val="12"/>
          <w:lang w:val="en-US"/>
        </w:rPr>
        <w:object w:dxaOrig="6200" w:dyaOrig="2960">
          <v:shape id="_x0000_i1038" type="#_x0000_t75" style="width:147pt;height:62.25pt" o:ole="" fillcolor="window">
            <v:imagedata r:id="rId28" o:title=""/>
          </v:shape>
          <o:OLEObject Type="Embed" ProgID="Equation.3" ShapeID="_x0000_i1038" DrawAspect="Content" ObjectID="_1324714686" r:id="rId29"/>
        </w:object>
      </w:r>
      <w:r w:rsidRPr="008C6F0C">
        <w:rPr>
          <w:sz w:val="12"/>
          <w:szCs w:val="12"/>
        </w:rPr>
        <w:t xml:space="preserve">Введём </w:t>
      </w:r>
      <w:proofErr w:type="spellStart"/>
      <w:r w:rsidRPr="008C6F0C">
        <w:rPr>
          <w:b/>
          <w:sz w:val="12"/>
          <w:szCs w:val="12"/>
        </w:rPr>
        <w:t>опр-ие</w:t>
      </w:r>
      <w:proofErr w:type="spellEnd"/>
      <w:r w:rsidRPr="008C6F0C">
        <w:rPr>
          <w:b/>
          <w:sz w:val="12"/>
          <w:szCs w:val="12"/>
        </w:rPr>
        <w:t xml:space="preserve"> </w:t>
      </w:r>
      <w:proofErr w:type="spellStart"/>
      <w:r w:rsidRPr="008C6F0C">
        <w:rPr>
          <w:b/>
          <w:sz w:val="12"/>
          <w:szCs w:val="12"/>
        </w:rPr>
        <w:t>безвихревого</w:t>
      </w:r>
      <w:proofErr w:type="spellEnd"/>
      <w:r w:rsidRPr="008C6F0C">
        <w:rPr>
          <w:b/>
          <w:sz w:val="12"/>
          <w:szCs w:val="12"/>
        </w:rPr>
        <w:t xml:space="preserve"> поля</w:t>
      </w:r>
      <w:r w:rsidRPr="008C6F0C">
        <w:rPr>
          <w:sz w:val="12"/>
          <w:szCs w:val="12"/>
        </w:rPr>
        <w:t xml:space="preserve">: поле </w:t>
      </w:r>
      <w:r w:rsidRPr="008C6F0C">
        <w:rPr>
          <w:b/>
          <w:i/>
          <w:position w:val="-6"/>
          <w:sz w:val="12"/>
          <w:szCs w:val="12"/>
          <w:lang w:val="en-US"/>
        </w:rPr>
        <w:object w:dxaOrig="220" w:dyaOrig="260">
          <v:shape id="_x0000_i1039" type="#_x0000_t75" style="width:11.25pt;height:9pt" o:ole="" fillcolor="window">
            <v:imagedata r:id="rId4" o:title=""/>
          </v:shape>
          <o:OLEObject Type="Embed" ProgID="Equation.3" ShapeID="_x0000_i1039" DrawAspect="Content" ObjectID="_1324714687" r:id="rId30"/>
        </w:object>
      </w:r>
      <w:r w:rsidRPr="008C6F0C">
        <w:rPr>
          <w:sz w:val="12"/>
          <w:szCs w:val="12"/>
        </w:rPr>
        <w:t>(</w:t>
      </w:r>
      <w:r w:rsidRPr="008C6F0C">
        <w:rPr>
          <w:b/>
          <w:i/>
          <w:sz w:val="12"/>
          <w:szCs w:val="12"/>
          <w:lang w:val="en-US"/>
        </w:rPr>
        <w:t>M</w:t>
      </w:r>
      <w:r w:rsidRPr="008C6F0C">
        <w:rPr>
          <w:sz w:val="12"/>
          <w:szCs w:val="12"/>
        </w:rPr>
        <w:t xml:space="preserve">), ротор кот в каждой точке = нулю, называется </w:t>
      </w:r>
      <w:proofErr w:type="spellStart"/>
      <w:r w:rsidRPr="008C6F0C">
        <w:rPr>
          <w:sz w:val="12"/>
          <w:szCs w:val="12"/>
        </w:rPr>
        <w:t>безвихр</w:t>
      </w:r>
      <w:r w:rsidRPr="008C6F0C">
        <w:rPr>
          <w:sz w:val="12"/>
          <w:szCs w:val="12"/>
        </w:rPr>
        <w:t>е</w:t>
      </w:r>
      <w:r w:rsidRPr="008C6F0C">
        <w:rPr>
          <w:sz w:val="12"/>
          <w:szCs w:val="12"/>
        </w:rPr>
        <w:t>вым</w:t>
      </w:r>
      <w:proofErr w:type="spellEnd"/>
      <w:r w:rsidRPr="008C6F0C">
        <w:rPr>
          <w:sz w:val="12"/>
          <w:szCs w:val="12"/>
        </w:rPr>
        <w:t>.</w:t>
      </w:r>
    </w:p>
    <w:p w:rsidR="0085441F" w:rsidRPr="008C6F0C" w:rsidRDefault="0085441F" w:rsidP="0085441F">
      <w:pPr>
        <w:rPr>
          <w:sz w:val="12"/>
          <w:szCs w:val="12"/>
        </w:rPr>
      </w:pPr>
      <w:r w:rsidRPr="008C6F0C">
        <w:rPr>
          <w:sz w:val="12"/>
          <w:szCs w:val="12"/>
        </w:rPr>
        <w:t xml:space="preserve">Мы доказали, что потенциальное поле необходимо </w:t>
      </w:r>
      <w:proofErr w:type="spellStart"/>
      <w:r w:rsidRPr="008C6F0C">
        <w:rPr>
          <w:sz w:val="12"/>
          <w:szCs w:val="12"/>
        </w:rPr>
        <w:t>безвихрево</w:t>
      </w:r>
      <w:proofErr w:type="spellEnd"/>
      <w:r w:rsidRPr="008C6F0C">
        <w:rPr>
          <w:sz w:val="12"/>
          <w:szCs w:val="12"/>
        </w:rPr>
        <w:t xml:space="preserve">. </w:t>
      </w:r>
    </w:p>
    <w:p w:rsidR="0085441F" w:rsidRDefault="0085441F" w:rsidP="0085441F">
      <w:pPr>
        <w:rPr>
          <w:sz w:val="12"/>
          <w:szCs w:val="12"/>
          <w:u w:val="single"/>
        </w:rPr>
      </w:pPr>
    </w:p>
    <w:p w:rsidR="0085441F" w:rsidRPr="008C6F0C" w:rsidRDefault="0085441F" w:rsidP="0085441F">
      <w:pPr>
        <w:rPr>
          <w:sz w:val="12"/>
          <w:szCs w:val="12"/>
        </w:rPr>
      </w:pPr>
      <w:r w:rsidRPr="008C6F0C">
        <w:rPr>
          <w:sz w:val="12"/>
          <w:szCs w:val="12"/>
          <w:u w:val="single"/>
        </w:rPr>
        <w:t xml:space="preserve">2. </w:t>
      </w:r>
      <w:r w:rsidRPr="008C6F0C">
        <w:rPr>
          <w:b/>
          <w:sz w:val="12"/>
          <w:szCs w:val="12"/>
          <w:u w:val="single"/>
        </w:rPr>
        <w:t>Разложение функции в степенной ряд. Неравенство Бесселя и равенство Парсеваля для тригонометрической системы на отрезке [-1;1]. Полнота триг</w:t>
      </w:r>
      <w:r w:rsidRPr="008C6F0C">
        <w:rPr>
          <w:b/>
          <w:sz w:val="12"/>
          <w:szCs w:val="12"/>
          <w:u w:val="single"/>
        </w:rPr>
        <w:t>о</w:t>
      </w:r>
      <w:r w:rsidRPr="008C6F0C">
        <w:rPr>
          <w:b/>
          <w:sz w:val="12"/>
          <w:szCs w:val="12"/>
          <w:u w:val="single"/>
        </w:rPr>
        <w:t>нометрической системы</w:t>
      </w:r>
      <w:r w:rsidRPr="008C6F0C">
        <w:rPr>
          <w:sz w:val="12"/>
          <w:szCs w:val="12"/>
        </w:rPr>
        <w:t>.</w:t>
      </w:r>
    </w:p>
    <w:p w:rsidR="0085441F" w:rsidRPr="008C6F0C" w:rsidRDefault="0085441F" w:rsidP="0085441F">
      <w:pPr>
        <w:pStyle w:val="a3"/>
        <w:ind w:firstLine="0"/>
        <w:rPr>
          <w:i/>
          <w:iCs/>
          <w:sz w:val="12"/>
          <w:szCs w:val="12"/>
        </w:rPr>
      </w:pPr>
      <w:r w:rsidRPr="008C6F0C">
        <w:rPr>
          <w:b/>
          <w:bCs/>
          <w:sz w:val="12"/>
          <w:szCs w:val="12"/>
        </w:rPr>
        <w:t>Теорема</w:t>
      </w:r>
      <w:r w:rsidRPr="008C6F0C">
        <w:rPr>
          <w:sz w:val="12"/>
          <w:szCs w:val="12"/>
        </w:rPr>
        <w:t xml:space="preserve"> (неравенство Бесселя)</w:t>
      </w:r>
      <w:bookmarkStart w:id="0" w:name="1967"/>
      <w:proofErr w:type="gramStart"/>
      <w:r w:rsidRPr="008C6F0C">
        <w:rPr>
          <w:sz w:val="12"/>
          <w:szCs w:val="12"/>
        </w:rPr>
        <w:t> </w:t>
      </w:r>
      <w:bookmarkEnd w:id="0"/>
      <w:r w:rsidRPr="008C6F0C">
        <w:rPr>
          <w:sz w:val="12"/>
          <w:szCs w:val="12"/>
        </w:rPr>
        <w:t>.</w:t>
      </w:r>
      <w:proofErr w:type="gramEnd"/>
      <w:r w:rsidRPr="008C6F0C">
        <w:rPr>
          <w:sz w:val="12"/>
          <w:szCs w:val="12"/>
        </w:rPr>
        <w:t xml:space="preserve"> </w:t>
      </w:r>
      <w:r w:rsidRPr="008C6F0C">
        <w:rPr>
          <w:i/>
          <w:iCs/>
          <w:sz w:val="12"/>
          <w:szCs w:val="12"/>
        </w:rPr>
        <w:t xml:space="preserve">Если квадрат функции </w:t>
      </w:r>
      <w:proofErr w:type="spellStart"/>
      <w:r w:rsidRPr="008C6F0C">
        <w:rPr>
          <w:i/>
          <w:iCs/>
          <w:sz w:val="12"/>
          <w:szCs w:val="12"/>
        </w:rPr>
        <w:t>f</w:t>
      </w:r>
      <w:proofErr w:type="spellEnd"/>
      <w:r w:rsidRPr="008C6F0C">
        <w:rPr>
          <w:i/>
          <w:iCs/>
          <w:sz w:val="12"/>
          <w:szCs w:val="12"/>
        </w:rPr>
        <w:t xml:space="preserve"> интегрируем по промежутку </w:t>
      </w:r>
      <w:r>
        <w:rPr>
          <w:i/>
          <w:iCs/>
          <w:noProof/>
          <w:sz w:val="12"/>
          <w:szCs w:val="12"/>
        </w:rPr>
        <w:drawing>
          <wp:inline distT="0" distB="0" distL="0" distR="0">
            <wp:extent cx="468630" cy="150495"/>
            <wp:effectExtent l="19050" t="0" r="7620" b="0"/>
            <wp:docPr id="31" name="Рисунок 31" descr="$[-\pi, \pi]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$[-\pi, \pi]$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F0C">
        <w:rPr>
          <w:i/>
          <w:iCs/>
          <w:sz w:val="12"/>
          <w:szCs w:val="12"/>
        </w:rPr>
        <w:t>,то числ</w:t>
      </w:r>
      <w:r w:rsidRPr="008C6F0C">
        <w:rPr>
          <w:i/>
          <w:iCs/>
          <w:sz w:val="12"/>
          <w:szCs w:val="12"/>
        </w:rPr>
        <w:t>о</w:t>
      </w:r>
      <w:r w:rsidRPr="008C6F0C">
        <w:rPr>
          <w:i/>
          <w:iCs/>
          <w:sz w:val="12"/>
          <w:szCs w:val="12"/>
        </w:rPr>
        <w:t xml:space="preserve">вой ряд  </w:t>
      </w:r>
      <w:r>
        <w:rPr>
          <w:i/>
          <w:iCs/>
          <w:noProof/>
          <w:sz w:val="12"/>
          <w:szCs w:val="12"/>
        </w:rPr>
        <w:drawing>
          <wp:inline distT="0" distB="0" distL="0" distR="0">
            <wp:extent cx="752475" cy="208280"/>
            <wp:effectExtent l="19050" t="0" r="9525" b="0"/>
            <wp:docPr id="32" name="Рисунок 32" descr="\begin{displaymath}&#10;\frac{a_0^2}{2}+\sum\limits_{n=1}^{\infty }&#10;(a_n^2+b_n^2)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\begin{displaymath}&#10;\frac{a_0^2}{2}+\sum\limits_{n=1}^{\infty }&#10;(a_n^2+b_n^2)\end{displaymath}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41F" w:rsidRPr="008C6F0C" w:rsidRDefault="0085441F" w:rsidP="0085441F">
      <w:pPr>
        <w:rPr>
          <w:i/>
          <w:iCs/>
          <w:sz w:val="12"/>
          <w:szCs w:val="12"/>
        </w:rPr>
      </w:pPr>
      <w:r w:rsidRPr="008C6F0C">
        <w:rPr>
          <w:i/>
          <w:iCs/>
          <w:sz w:val="12"/>
          <w:szCs w:val="12"/>
        </w:rPr>
        <w:t xml:space="preserve">сходится и имеет место неравенство </w:t>
      </w:r>
    </w:p>
    <w:p w:rsidR="0085441F" w:rsidRPr="008C6F0C" w:rsidRDefault="0085441F" w:rsidP="0085441F">
      <w:pPr>
        <w:pStyle w:val="a3"/>
        <w:ind w:firstLine="0"/>
        <w:rPr>
          <w:i/>
          <w:iCs/>
          <w:sz w:val="12"/>
          <w:szCs w:val="12"/>
        </w:rPr>
      </w:pPr>
      <w:r>
        <w:rPr>
          <w:i/>
          <w:iCs/>
          <w:noProof/>
          <w:sz w:val="12"/>
          <w:szCs w:val="12"/>
        </w:rPr>
        <w:drawing>
          <wp:inline distT="0" distB="0" distL="0" distR="0">
            <wp:extent cx="1718945" cy="300990"/>
            <wp:effectExtent l="19050" t="0" r="0" b="0"/>
            <wp:docPr id="33" name="Рисунок 33" descr="\begin{displaymath}&#10;\frac{a_0^2}{2}+\sum\limits_{n=1}^{\infty }&#10;(a_n^2+b_n^2)\leq \frac1\pi \int\limits_{-\pi }^{\pi}&#10;f^2(x)\,dx.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begin{displaymath}&#10;\frac{a_0^2}{2}+\sum\limits_{n=1}^{\infty }&#10;(a_n^2+b_n^2)\leq \frac1\pi \int\limits_{-\pi }^{\pi}&#10;f^2(x)\,dx.\end{displaymath}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30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41F" w:rsidRPr="008C6F0C" w:rsidRDefault="0085441F" w:rsidP="0085441F">
      <w:pPr>
        <w:pStyle w:val="a3"/>
        <w:ind w:firstLine="0"/>
        <w:rPr>
          <w:i/>
          <w:iCs/>
          <w:sz w:val="12"/>
          <w:szCs w:val="12"/>
        </w:rPr>
      </w:pPr>
      <w:r w:rsidRPr="008C6F0C">
        <w:rPr>
          <w:b/>
          <w:bCs/>
          <w:sz w:val="12"/>
          <w:szCs w:val="12"/>
        </w:rPr>
        <w:t>Доказательство.</w:t>
      </w:r>
      <w:r w:rsidRPr="008C6F0C">
        <w:rPr>
          <w:sz w:val="12"/>
          <w:szCs w:val="12"/>
        </w:rPr>
        <w:t xml:space="preserve"> Заменяя в равенстве (14) </w:t>
      </w:r>
      <w:proofErr w:type="spellStart"/>
      <w:r w:rsidRPr="008C6F0C">
        <w:rPr>
          <w:sz w:val="12"/>
          <w:szCs w:val="12"/>
        </w:rPr>
        <w:t>произво</w:t>
      </w:r>
      <w:r w:rsidRPr="008C6F0C">
        <w:rPr>
          <w:sz w:val="12"/>
          <w:szCs w:val="12"/>
        </w:rPr>
        <w:t>л</w:t>
      </w:r>
      <w:r w:rsidRPr="008C6F0C">
        <w:rPr>
          <w:sz w:val="12"/>
          <w:szCs w:val="12"/>
        </w:rPr>
        <w:t>ный</w:t>
      </w:r>
      <w:proofErr w:type="spellEnd"/>
      <w:r w:rsidRPr="008C6F0C">
        <w:rPr>
          <w:sz w:val="12"/>
          <w:szCs w:val="12"/>
        </w:rPr>
        <w:t xml:space="preserve"> многочлен </w:t>
      </w:r>
      <w:proofErr w:type="spellStart"/>
      <w:r w:rsidRPr="008C6F0C">
        <w:rPr>
          <w:i/>
          <w:iCs/>
          <w:sz w:val="12"/>
          <w:szCs w:val="12"/>
        </w:rPr>
        <w:t>T</w:t>
      </w:r>
      <w:r w:rsidRPr="008C6F0C">
        <w:rPr>
          <w:i/>
          <w:iCs/>
          <w:sz w:val="12"/>
          <w:szCs w:val="12"/>
          <w:vertAlign w:val="subscript"/>
        </w:rPr>
        <w:t>n</w:t>
      </w:r>
      <w:proofErr w:type="spellEnd"/>
      <w:r w:rsidRPr="008C6F0C">
        <w:rPr>
          <w:sz w:val="12"/>
          <w:szCs w:val="12"/>
        </w:rPr>
        <w:t xml:space="preserve"> частичной суммой </w:t>
      </w:r>
    </w:p>
    <w:p w:rsidR="0085441F" w:rsidRPr="008C6F0C" w:rsidRDefault="0085441F" w:rsidP="0085441F">
      <w:pPr>
        <w:pStyle w:val="a3"/>
        <w:ind w:firstLine="0"/>
        <w:rPr>
          <w:sz w:val="12"/>
          <w:szCs w:val="12"/>
        </w:rPr>
      </w:pPr>
      <w:r>
        <w:rPr>
          <w:noProof/>
          <w:sz w:val="12"/>
          <w:szCs w:val="12"/>
        </w:rPr>
        <w:drawing>
          <wp:inline distT="0" distB="0" distL="0" distR="0">
            <wp:extent cx="1759585" cy="213995"/>
            <wp:effectExtent l="19050" t="0" r="0" b="0"/>
            <wp:docPr id="34" name="Рисунок 34" descr="\begin{displaymath}&#10;S_n(x)=\frac{a_0}{2}+\sum\limits_{m=1}^{n}&#10;(a_m\cos mx+b_m\sin mx)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begin{displaymath}&#10;S_n(x)=\frac{a_0}{2}+\sum\limits_{m=1}^{n}&#10;(a_m\cos mx+b_m\sin mx)\end{displaymath}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41F" w:rsidRPr="008C6F0C" w:rsidRDefault="0085441F" w:rsidP="0085441F">
      <w:pPr>
        <w:rPr>
          <w:sz w:val="12"/>
          <w:szCs w:val="12"/>
        </w:rPr>
      </w:pPr>
      <w:r w:rsidRPr="008C6F0C">
        <w:rPr>
          <w:sz w:val="12"/>
          <w:szCs w:val="12"/>
        </w:rPr>
        <w:t xml:space="preserve">ряда Фурье функции </w:t>
      </w:r>
      <w:proofErr w:type="spellStart"/>
      <w:r w:rsidRPr="008C6F0C">
        <w:rPr>
          <w:i/>
          <w:iCs/>
          <w:sz w:val="12"/>
          <w:szCs w:val="12"/>
        </w:rPr>
        <w:t>f</w:t>
      </w:r>
      <w:proofErr w:type="spellEnd"/>
      <w:r w:rsidRPr="008C6F0C">
        <w:rPr>
          <w:sz w:val="12"/>
          <w:szCs w:val="12"/>
        </w:rPr>
        <w:t xml:space="preserve">, получим равенство </w:t>
      </w:r>
    </w:p>
    <w:p w:rsidR="0085441F" w:rsidRPr="008C6F0C" w:rsidRDefault="0085441F" w:rsidP="0085441F">
      <w:pPr>
        <w:pStyle w:val="a3"/>
        <w:ind w:firstLine="0"/>
        <w:rPr>
          <w:sz w:val="12"/>
          <w:szCs w:val="12"/>
        </w:rPr>
      </w:pPr>
      <w:r>
        <w:rPr>
          <w:noProof/>
          <w:sz w:val="12"/>
          <w:szCs w:val="12"/>
        </w:rPr>
        <w:drawing>
          <wp:inline distT="0" distB="0" distL="0" distR="0">
            <wp:extent cx="1684020" cy="266065"/>
            <wp:effectExtent l="19050" t="0" r="0" b="0"/>
            <wp:docPr id="35" name="Рисунок 35" descr="\begin{displaymath}&#10;\int\limits_{-\pi }^{\pi }\vert S_n(x)-f(x)\vert^2\,dx=&#10;\int...&#10; ... \frac{\pi }{2}a_0^2&#10;-\pi \sum\limits_{m=1}^{n}&#10;(a_m^2+b_m^2) .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begin{displaymath}&#10;\int\limits_{-\pi }^{\pi }\vert S_n(x)-f(x)\vert^2\,dx=&#10;\int...&#10; ... \frac{\pi }{2}a_0^2&#10;-\pi \sum\limits_{m=1}^{n}&#10;(a_m^2+b_m^2) .\end{displaymath}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41F" w:rsidRPr="008C6F0C" w:rsidRDefault="0085441F" w:rsidP="0085441F">
      <w:pPr>
        <w:rPr>
          <w:sz w:val="12"/>
          <w:szCs w:val="12"/>
        </w:rPr>
      </w:pPr>
      <w:r w:rsidRPr="008C6F0C">
        <w:rPr>
          <w:sz w:val="12"/>
          <w:szCs w:val="12"/>
        </w:rPr>
        <w:t>Левая его часть неотрицательная, поскольку мы инте</w:t>
      </w:r>
      <w:r w:rsidRPr="008C6F0C">
        <w:rPr>
          <w:sz w:val="12"/>
          <w:szCs w:val="12"/>
        </w:rPr>
        <w:t>г</w:t>
      </w:r>
      <w:r w:rsidRPr="008C6F0C">
        <w:rPr>
          <w:sz w:val="12"/>
          <w:szCs w:val="12"/>
        </w:rPr>
        <w:t xml:space="preserve">рируем неотрицательную функцию. Значит, </w:t>
      </w:r>
    </w:p>
    <w:p w:rsidR="0085441F" w:rsidRPr="008C6F0C" w:rsidRDefault="0085441F" w:rsidP="0085441F">
      <w:pPr>
        <w:pStyle w:val="a3"/>
        <w:ind w:firstLine="0"/>
        <w:rPr>
          <w:sz w:val="12"/>
          <w:szCs w:val="12"/>
        </w:rPr>
      </w:pPr>
      <w:r>
        <w:rPr>
          <w:noProof/>
          <w:sz w:val="12"/>
          <w:szCs w:val="12"/>
        </w:rPr>
        <w:drawing>
          <wp:inline distT="0" distB="0" distL="0" distR="0">
            <wp:extent cx="1568450" cy="191135"/>
            <wp:effectExtent l="19050" t="0" r="0" b="0"/>
            <wp:docPr id="36" name="Рисунок 36" descr="\begin{displaymath}&#10;\frac{a_0^2}{2}+\sum\limits_{m=1}^{n} (a_m^2+b_m^2)\leq&#10;\frac1\pi \int\limits_{-\pi }^{\pi} f^2(x)\,dx. \eqno(15)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begin{displaymath}&#10;\frac{a_0^2}{2}+\sum\limits_{m=1}^{n} (a_m^2+b_m^2)\leq&#10;\frac1\pi \int\limits_{-\pi }^{\pi} f^2(x)\,dx. \eqno(15)\end{displaymath}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41F" w:rsidRPr="008C6F0C" w:rsidRDefault="0085441F" w:rsidP="0085441F">
      <w:pPr>
        <w:pStyle w:val="a3"/>
        <w:ind w:firstLine="0"/>
        <w:rPr>
          <w:sz w:val="12"/>
          <w:szCs w:val="12"/>
        </w:rPr>
      </w:pPr>
      <w:r w:rsidRPr="008C6F0C">
        <w:rPr>
          <w:sz w:val="12"/>
          <w:szCs w:val="12"/>
        </w:rPr>
        <w:t xml:space="preserve">Все члены числового ряда </w:t>
      </w:r>
    </w:p>
    <w:p w:rsidR="0085441F" w:rsidRPr="008C6F0C" w:rsidRDefault="0085441F" w:rsidP="0085441F">
      <w:pPr>
        <w:pStyle w:val="a3"/>
        <w:ind w:firstLine="0"/>
        <w:rPr>
          <w:sz w:val="12"/>
          <w:szCs w:val="12"/>
        </w:rPr>
      </w:pPr>
      <w:r>
        <w:rPr>
          <w:noProof/>
          <w:sz w:val="12"/>
          <w:szCs w:val="12"/>
        </w:rPr>
        <w:drawing>
          <wp:inline distT="0" distB="0" distL="0" distR="0">
            <wp:extent cx="2025650" cy="179705"/>
            <wp:effectExtent l="19050" t="0" r="0" b="0"/>
            <wp:docPr id="37" name="Рисунок 37" descr="\begin{displaymath}&#10;\frac{a_0^2}{2}+\sum\limits_{n=1}^{\infty }&#10;(a_n^2+b_n^2)\eqno(16)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begin{displaymath}&#10;\frac{a_0^2}{2}+\sum\limits_{n=1}^{\infty }&#10;(a_n^2+b_n^2)\eqno(16)\end{displaymath}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41F" w:rsidRPr="008C6F0C" w:rsidRDefault="0085441F" w:rsidP="0085441F">
      <w:pPr>
        <w:pStyle w:val="1"/>
        <w:ind w:firstLine="0"/>
        <w:rPr>
          <w:szCs w:val="12"/>
        </w:rPr>
      </w:pPr>
      <w:r w:rsidRPr="008C6F0C">
        <w:rPr>
          <w:szCs w:val="12"/>
        </w:rPr>
        <w:t>неотрицательны, а значит, его частичные суммы монотонно возрастают. Но, согласно (15), все они огранич</w:t>
      </w:r>
      <w:r w:rsidRPr="008C6F0C">
        <w:rPr>
          <w:szCs w:val="12"/>
        </w:rPr>
        <w:t>е</w:t>
      </w:r>
      <w:r w:rsidRPr="008C6F0C">
        <w:rPr>
          <w:szCs w:val="12"/>
        </w:rPr>
        <w:t xml:space="preserve">ны одним и тем же конечным числом и поэтому имеют конечный предел. Другими словами это означает, что ряд (16) сходится. Переходя к пределу </w:t>
      </w:r>
      <w:proofErr w:type="gramStart"/>
      <w:r w:rsidRPr="008C6F0C">
        <w:rPr>
          <w:szCs w:val="12"/>
        </w:rPr>
        <w:t>при</w:t>
      </w:r>
      <w:proofErr w:type="gramEnd"/>
      <w:r w:rsidRPr="008C6F0C">
        <w:rPr>
          <w:szCs w:val="12"/>
        </w:rPr>
        <w:t xml:space="preserve"> </w:t>
      </w:r>
      <w:r>
        <w:rPr>
          <w:noProof/>
          <w:szCs w:val="12"/>
        </w:rPr>
        <w:drawing>
          <wp:inline distT="0" distB="0" distL="0" distR="0">
            <wp:extent cx="422275" cy="115570"/>
            <wp:effectExtent l="19050" t="0" r="0" b="0"/>
            <wp:docPr id="38" name="Рисунок 38" descr="$n\to \infty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$n\to \infty$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F0C">
        <w:rPr>
          <w:szCs w:val="12"/>
        </w:rPr>
        <w:t>в неравенстве (15), завершим доказ</w:t>
      </w:r>
      <w:r w:rsidRPr="008C6F0C">
        <w:rPr>
          <w:szCs w:val="12"/>
        </w:rPr>
        <w:t>а</w:t>
      </w:r>
      <w:r w:rsidRPr="008C6F0C">
        <w:rPr>
          <w:szCs w:val="12"/>
        </w:rPr>
        <w:t>тельство теоремы.</w:t>
      </w:r>
      <w:bookmarkStart w:id="1" w:name="SECTION0011100000000000000000"/>
      <w:r w:rsidRPr="008C6F0C">
        <w:rPr>
          <w:szCs w:val="12"/>
        </w:rPr>
        <w:t xml:space="preserve"> Полнота ортонормированной сист</w:t>
      </w:r>
      <w:r w:rsidRPr="008C6F0C">
        <w:rPr>
          <w:szCs w:val="12"/>
        </w:rPr>
        <w:t>е</w:t>
      </w:r>
      <w:r w:rsidRPr="008C6F0C">
        <w:rPr>
          <w:szCs w:val="12"/>
        </w:rPr>
        <w:t>мы. Равенство Парсеваля. Замкнутые системы</w:t>
      </w:r>
      <w:bookmarkEnd w:id="1"/>
      <w:r w:rsidRPr="008C6F0C">
        <w:rPr>
          <w:szCs w:val="12"/>
        </w:rPr>
        <w:t xml:space="preserve"> </w:t>
      </w:r>
    </w:p>
    <w:p w:rsidR="0085441F" w:rsidRPr="008C6F0C" w:rsidRDefault="0085441F" w:rsidP="0085441F">
      <w:pPr>
        <w:pStyle w:val="a3"/>
        <w:ind w:firstLine="0"/>
        <w:rPr>
          <w:sz w:val="12"/>
          <w:szCs w:val="12"/>
        </w:rPr>
      </w:pPr>
      <w:r w:rsidRPr="008C6F0C">
        <w:rPr>
          <w:sz w:val="12"/>
          <w:szCs w:val="12"/>
        </w:rPr>
        <w:t xml:space="preserve">Говорят, что ортонормированная система векторов </w:t>
      </w:r>
      <w:proofErr w:type="spellStart"/>
      <w:r w:rsidRPr="008C6F0C">
        <w:rPr>
          <w:i/>
          <w:iCs/>
          <w:sz w:val="12"/>
          <w:szCs w:val="12"/>
        </w:rPr>
        <w:t>x</w:t>
      </w:r>
      <w:proofErr w:type="spellEnd"/>
      <w:r w:rsidRPr="008C6F0C">
        <w:rPr>
          <w:sz w:val="12"/>
          <w:szCs w:val="12"/>
        </w:rPr>
        <w:t xml:space="preserve">, </w:t>
      </w:r>
      <w:r w:rsidRPr="008C6F0C">
        <w:rPr>
          <w:i/>
          <w:iCs/>
          <w:sz w:val="12"/>
          <w:szCs w:val="12"/>
        </w:rPr>
        <w:t>x</w:t>
      </w:r>
      <w:r w:rsidRPr="008C6F0C">
        <w:rPr>
          <w:i/>
          <w:iCs/>
          <w:sz w:val="12"/>
          <w:szCs w:val="12"/>
          <w:vertAlign w:val="subscript"/>
        </w:rPr>
        <w:t>1</w:t>
      </w:r>
      <w:r w:rsidRPr="008C6F0C">
        <w:rPr>
          <w:sz w:val="12"/>
          <w:szCs w:val="12"/>
        </w:rPr>
        <w:t>, …,</w:t>
      </w:r>
      <w:proofErr w:type="spellStart"/>
      <w:r w:rsidRPr="008C6F0C">
        <w:rPr>
          <w:i/>
          <w:iCs/>
          <w:sz w:val="12"/>
          <w:szCs w:val="12"/>
        </w:rPr>
        <w:t>x</w:t>
      </w:r>
      <w:r w:rsidRPr="008C6F0C">
        <w:rPr>
          <w:i/>
          <w:iCs/>
          <w:sz w:val="12"/>
          <w:szCs w:val="12"/>
          <w:vertAlign w:val="subscript"/>
        </w:rPr>
        <w:t>n</w:t>
      </w:r>
      <w:proofErr w:type="spellEnd"/>
      <w:r w:rsidRPr="008C6F0C">
        <w:rPr>
          <w:sz w:val="12"/>
          <w:szCs w:val="12"/>
        </w:rPr>
        <w:t xml:space="preserve">, …является </w:t>
      </w:r>
      <w:r w:rsidRPr="008C6F0C">
        <w:rPr>
          <w:i/>
          <w:iCs/>
          <w:sz w:val="12"/>
          <w:szCs w:val="12"/>
        </w:rPr>
        <w:t>пополнением</w:t>
      </w:r>
      <w:r w:rsidRPr="008C6F0C">
        <w:rPr>
          <w:sz w:val="12"/>
          <w:szCs w:val="12"/>
        </w:rPr>
        <w:t xml:space="preserve"> последовательности </w:t>
      </w:r>
      <w:r w:rsidRPr="008C6F0C">
        <w:rPr>
          <w:i/>
          <w:iCs/>
          <w:sz w:val="12"/>
          <w:szCs w:val="12"/>
        </w:rPr>
        <w:t>x</w:t>
      </w:r>
      <w:r w:rsidRPr="008C6F0C">
        <w:rPr>
          <w:i/>
          <w:iCs/>
          <w:sz w:val="12"/>
          <w:szCs w:val="12"/>
          <w:vertAlign w:val="subscript"/>
        </w:rPr>
        <w:t>1</w:t>
      </w:r>
      <w:r w:rsidRPr="008C6F0C">
        <w:rPr>
          <w:sz w:val="12"/>
          <w:szCs w:val="12"/>
        </w:rPr>
        <w:t>, …,</w:t>
      </w:r>
      <w:proofErr w:type="spellStart"/>
      <w:r w:rsidRPr="008C6F0C">
        <w:rPr>
          <w:i/>
          <w:iCs/>
          <w:sz w:val="12"/>
          <w:szCs w:val="12"/>
        </w:rPr>
        <w:t>x</w:t>
      </w:r>
      <w:r w:rsidRPr="008C6F0C">
        <w:rPr>
          <w:i/>
          <w:iCs/>
          <w:sz w:val="12"/>
          <w:szCs w:val="12"/>
          <w:vertAlign w:val="subscript"/>
        </w:rPr>
        <w:t>n</w:t>
      </w:r>
      <w:proofErr w:type="spellEnd"/>
      <w:r w:rsidRPr="008C6F0C">
        <w:rPr>
          <w:sz w:val="12"/>
          <w:szCs w:val="12"/>
        </w:rPr>
        <w:t>, ….В свою очередь ортонормированная последов</w:t>
      </w:r>
      <w:r w:rsidRPr="008C6F0C">
        <w:rPr>
          <w:sz w:val="12"/>
          <w:szCs w:val="12"/>
        </w:rPr>
        <w:t>а</w:t>
      </w:r>
      <w:r w:rsidRPr="008C6F0C">
        <w:rPr>
          <w:sz w:val="12"/>
          <w:szCs w:val="12"/>
        </w:rPr>
        <w:t xml:space="preserve">тельность </w:t>
      </w:r>
      <w:r w:rsidRPr="008C6F0C">
        <w:rPr>
          <w:i/>
          <w:iCs/>
          <w:sz w:val="12"/>
          <w:szCs w:val="12"/>
        </w:rPr>
        <w:t>x</w:t>
      </w:r>
      <w:r w:rsidRPr="008C6F0C">
        <w:rPr>
          <w:i/>
          <w:iCs/>
          <w:sz w:val="12"/>
          <w:szCs w:val="12"/>
          <w:vertAlign w:val="subscript"/>
        </w:rPr>
        <w:t>1</w:t>
      </w:r>
      <w:r w:rsidRPr="008C6F0C">
        <w:rPr>
          <w:sz w:val="12"/>
          <w:szCs w:val="12"/>
        </w:rPr>
        <w:t>, …,</w:t>
      </w:r>
      <w:proofErr w:type="spellStart"/>
      <w:r w:rsidRPr="008C6F0C">
        <w:rPr>
          <w:i/>
          <w:iCs/>
          <w:sz w:val="12"/>
          <w:szCs w:val="12"/>
        </w:rPr>
        <w:t>x</w:t>
      </w:r>
      <w:r w:rsidRPr="008C6F0C">
        <w:rPr>
          <w:i/>
          <w:iCs/>
          <w:sz w:val="12"/>
          <w:szCs w:val="12"/>
          <w:vertAlign w:val="subscript"/>
        </w:rPr>
        <w:t>n</w:t>
      </w:r>
      <w:proofErr w:type="spellEnd"/>
      <w:r w:rsidRPr="008C6F0C">
        <w:rPr>
          <w:sz w:val="12"/>
          <w:szCs w:val="12"/>
        </w:rPr>
        <w:t xml:space="preserve">, …векторов гильбертова пространства </w:t>
      </w:r>
      <w:r w:rsidRPr="008C6F0C">
        <w:rPr>
          <w:i/>
          <w:iCs/>
          <w:sz w:val="12"/>
          <w:szCs w:val="12"/>
        </w:rPr>
        <w:t>H</w:t>
      </w:r>
      <w:r w:rsidRPr="008C6F0C">
        <w:rPr>
          <w:sz w:val="12"/>
          <w:szCs w:val="12"/>
        </w:rPr>
        <w:t xml:space="preserve"> называется </w:t>
      </w:r>
      <w:r w:rsidRPr="008C6F0C">
        <w:rPr>
          <w:i/>
          <w:iCs/>
          <w:sz w:val="12"/>
          <w:szCs w:val="12"/>
        </w:rPr>
        <w:t>полной</w:t>
      </w:r>
      <w:r w:rsidRPr="008C6F0C">
        <w:rPr>
          <w:sz w:val="12"/>
          <w:szCs w:val="12"/>
        </w:rPr>
        <w:t>, если ее уже нельзя пополнить, т.е. если ее ортогональное дополн</w:t>
      </w:r>
      <w:r w:rsidRPr="008C6F0C">
        <w:rPr>
          <w:sz w:val="12"/>
          <w:szCs w:val="12"/>
        </w:rPr>
        <w:t>е</w:t>
      </w:r>
      <w:r w:rsidRPr="008C6F0C">
        <w:rPr>
          <w:sz w:val="12"/>
          <w:szCs w:val="12"/>
        </w:rPr>
        <w:t xml:space="preserve">ние состоит из нуля. </w:t>
      </w:r>
    </w:p>
    <w:p w:rsidR="0085441F" w:rsidRPr="008C6F0C" w:rsidRDefault="0085441F" w:rsidP="0085441F">
      <w:pPr>
        <w:pStyle w:val="a3"/>
        <w:ind w:firstLine="0"/>
        <w:rPr>
          <w:i/>
          <w:iCs/>
          <w:sz w:val="12"/>
          <w:szCs w:val="12"/>
        </w:rPr>
      </w:pPr>
      <w:r w:rsidRPr="008C6F0C">
        <w:rPr>
          <w:b/>
          <w:bCs/>
          <w:sz w:val="12"/>
          <w:szCs w:val="12"/>
        </w:rPr>
        <w:t>Теорема</w:t>
      </w:r>
      <w:r w:rsidRPr="008C6F0C">
        <w:rPr>
          <w:sz w:val="12"/>
          <w:szCs w:val="12"/>
        </w:rPr>
        <w:t xml:space="preserve"> (равенство Парсеваля). </w:t>
      </w:r>
      <w:r w:rsidRPr="008C6F0C">
        <w:rPr>
          <w:i/>
          <w:iCs/>
          <w:sz w:val="12"/>
          <w:szCs w:val="12"/>
        </w:rPr>
        <w:t>Пусть</w:t>
      </w:r>
      <w:proofErr w:type="gramStart"/>
      <w:r w:rsidRPr="008C6F0C">
        <w:rPr>
          <w:i/>
          <w:iCs/>
          <w:sz w:val="12"/>
          <w:szCs w:val="12"/>
        </w:rPr>
        <w:t xml:space="preserve"> </w:t>
      </w:r>
      <w:r>
        <w:rPr>
          <w:i/>
          <w:iCs/>
          <w:noProof/>
          <w:sz w:val="12"/>
          <w:szCs w:val="12"/>
        </w:rPr>
        <w:drawing>
          <wp:inline distT="0" distB="0" distL="0" distR="0">
            <wp:extent cx="798830" cy="115570"/>
            <wp:effectExtent l="19050" t="0" r="1270" b="0"/>
            <wp:docPr id="39" name="Рисунок 39" descr="$x_1, \dots ,x_n, \dots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$x_1, \dots ,x_n, \dots $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F0C">
        <w:rPr>
          <w:i/>
          <w:iCs/>
          <w:sz w:val="12"/>
          <w:szCs w:val="12"/>
        </w:rPr>
        <w:t xml:space="preserve">-- </w:t>
      </w:r>
      <w:proofErr w:type="gramEnd"/>
      <w:r w:rsidRPr="008C6F0C">
        <w:rPr>
          <w:i/>
          <w:iCs/>
          <w:sz w:val="12"/>
          <w:szCs w:val="12"/>
        </w:rPr>
        <w:t xml:space="preserve">полная ортонормированная система векторов в гильбертовом пространстве H. Тогда для любых векторов </w:t>
      </w:r>
      <w:proofErr w:type="spellStart"/>
      <w:r w:rsidRPr="008C6F0C">
        <w:rPr>
          <w:i/>
          <w:iCs/>
          <w:sz w:val="12"/>
          <w:szCs w:val="12"/>
        </w:rPr>
        <w:t>x</w:t>
      </w:r>
      <w:proofErr w:type="spellEnd"/>
      <w:r w:rsidRPr="008C6F0C">
        <w:rPr>
          <w:i/>
          <w:iCs/>
          <w:sz w:val="12"/>
          <w:szCs w:val="12"/>
        </w:rPr>
        <w:t xml:space="preserve"> и </w:t>
      </w:r>
      <w:proofErr w:type="spellStart"/>
      <w:r w:rsidRPr="008C6F0C">
        <w:rPr>
          <w:i/>
          <w:iCs/>
          <w:sz w:val="12"/>
          <w:szCs w:val="12"/>
        </w:rPr>
        <w:t>y</w:t>
      </w:r>
      <w:proofErr w:type="spellEnd"/>
      <w:r w:rsidRPr="008C6F0C">
        <w:rPr>
          <w:i/>
          <w:iCs/>
          <w:sz w:val="12"/>
          <w:szCs w:val="12"/>
        </w:rPr>
        <w:t xml:space="preserve"> из H справедливо раве</w:t>
      </w:r>
      <w:r w:rsidRPr="008C6F0C">
        <w:rPr>
          <w:i/>
          <w:iCs/>
          <w:sz w:val="12"/>
          <w:szCs w:val="12"/>
        </w:rPr>
        <w:t>н</w:t>
      </w:r>
      <w:r w:rsidRPr="008C6F0C">
        <w:rPr>
          <w:i/>
          <w:iCs/>
          <w:sz w:val="12"/>
          <w:szCs w:val="12"/>
        </w:rPr>
        <w:t xml:space="preserve">ство  </w:t>
      </w:r>
      <w:r>
        <w:rPr>
          <w:i/>
          <w:iCs/>
          <w:noProof/>
          <w:sz w:val="12"/>
          <w:szCs w:val="12"/>
        </w:rPr>
        <w:drawing>
          <wp:inline distT="0" distB="0" distL="0" distR="0">
            <wp:extent cx="771161" cy="225706"/>
            <wp:effectExtent l="19050" t="0" r="0" b="0"/>
            <wp:docPr id="40" name="Рисунок 40" descr="\begin{displaymath}&#10;(x,y)=\sum_{k=1}^{\infty }\lambda _k\overline{\mu _k},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\begin{displaymath}&#10;(x,y)=\sum_{k=1}^{\infty }\lambda _k\overline{\mu _k},\end{displaymath}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01" cy="226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41F" w:rsidRPr="008C6F0C" w:rsidRDefault="0085441F" w:rsidP="0085441F">
      <w:pPr>
        <w:rPr>
          <w:sz w:val="12"/>
          <w:szCs w:val="12"/>
        </w:rPr>
      </w:pPr>
      <w:r w:rsidRPr="008C6F0C">
        <w:rPr>
          <w:sz w:val="12"/>
          <w:szCs w:val="12"/>
        </w:rPr>
        <w:t xml:space="preserve">где </w:t>
      </w:r>
      <w:r>
        <w:rPr>
          <w:noProof/>
          <w:sz w:val="12"/>
          <w:szCs w:val="12"/>
        </w:rPr>
        <w:drawing>
          <wp:inline distT="0" distB="0" distL="0" distR="0">
            <wp:extent cx="676910" cy="167640"/>
            <wp:effectExtent l="19050" t="0" r="8890" b="0"/>
            <wp:docPr id="41" name="Рисунок 41" descr="$\lambda _k=(x,x_k)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$\lambda _k=(x,x_k)$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F0C">
        <w:rPr>
          <w:sz w:val="12"/>
          <w:szCs w:val="12"/>
        </w:rPr>
        <w:t xml:space="preserve">и </w:t>
      </w:r>
      <w:r>
        <w:rPr>
          <w:noProof/>
          <w:sz w:val="12"/>
          <w:szCs w:val="12"/>
        </w:rPr>
        <w:drawing>
          <wp:inline distT="0" distB="0" distL="0" distR="0">
            <wp:extent cx="630555" cy="167640"/>
            <wp:effectExtent l="19050" t="0" r="0" b="0"/>
            <wp:docPr id="42" name="Рисунок 42" descr="$\mu _k=(y,x_k)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$\mu _k=(y,x_k)$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F0C">
        <w:rPr>
          <w:sz w:val="12"/>
          <w:szCs w:val="12"/>
        </w:rPr>
        <w:t xml:space="preserve">являются коэффициентами Фурье векторов </w:t>
      </w:r>
      <w:proofErr w:type="spellStart"/>
      <w:r w:rsidRPr="008C6F0C">
        <w:rPr>
          <w:sz w:val="12"/>
          <w:szCs w:val="12"/>
        </w:rPr>
        <w:t>x</w:t>
      </w:r>
      <w:proofErr w:type="spellEnd"/>
      <w:r w:rsidRPr="008C6F0C">
        <w:rPr>
          <w:sz w:val="12"/>
          <w:szCs w:val="12"/>
        </w:rPr>
        <w:t xml:space="preserve"> и </w:t>
      </w:r>
      <w:proofErr w:type="spellStart"/>
      <w:r w:rsidRPr="008C6F0C">
        <w:rPr>
          <w:sz w:val="12"/>
          <w:szCs w:val="12"/>
        </w:rPr>
        <w:t>y</w:t>
      </w:r>
      <w:proofErr w:type="spellEnd"/>
      <w:r w:rsidRPr="008C6F0C">
        <w:rPr>
          <w:sz w:val="12"/>
          <w:szCs w:val="12"/>
        </w:rPr>
        <w:t xml:space="preserve"> соответстве</w:t>
      </w:r>
      <w:r w:rsidRPr="008C6F0C">
        <w:rPr>
          <w:sz w:val="12"/>
          <w:szCs w:val="12"/>
        </w:rPr>
        <w:t>н</w:t>
      </w:r>
      <w:r w:rsidRPr="008C6F0C">
        <w:rPr>
          <w:sz w:val="12"/>
          <w:szCs w:val="12"/>
        </w:rPr>
        <w:t xml:space="preserve">но. В частности  </w:t>
      </w:r>
      <w:r>
        <w:rPr>
          <w:noProof/>
          <w:sz w:val="12"/>
          <w:szCs w:val="12"/>
        </w:rPr>
        <w:drawing>
          <wp:inline distT="0" distB="0" distL="0" distR="0">
            <wp:extent cx="786765" cy="225425"/>
            <wp:effectExtent l="19050" t="0" r="0" b="0"/>
            <wp:docPr id="43" name="Рисунок 43" descr="\begin{displaymath}&#10;\vert\vert x\vert\vert ^2=\sum_{k=1}^{\infty } \vert\lambda _k\vert^2.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begin{displaymath}&#10;\vert\vert x\vert\vert ^2=\sum_{k=1}^{\infty } \vert\lambda _k\vert^2.\end{displaymath}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C76" w:rsidRDefault="00947C76"/>
    <w:sectPr w:rsidR="00947C76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85441F"/>
    <w:rsid w:val="0085441F"/>
    <w:rsid w:val="0094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41F"/>
    <w:pPr>
      <w:keepNext/>
      <w:ind w:firstLine="113"/>
      <w:jc w:val="both"/>
      <w:outlineLvl w:val="0"/>
    </w:pPr>
    <w:rPr>
      <w:sz w:val="1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41F"/>
    <w:rPr>
      <w:rFonts w:ascii="Times New Roman" w:eastAsia="Times New Roman" w:hAnsi="Times New Roman" w:cs="Times New Roman"/>
      <w:sz w:val="12"/>
      <w:szCs w:val="20"/>
      <w:u w:val="single"/>
      <w:lang w:eastAsia="ru-RU"/>
    </w:rPr>
  </w:style>
  <w:style w:type="paragraph" w:styleId="a3">
    <w:name w:val="Normal (Web)"/>
    <w:basedOn w:val="a"/>
    <w:rsid w:val="0085441F"/>
    <w:pPr>
      <w:spacing w:line="360" w:lineRule="auto"/>
      <w:ind w:firstLine="261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4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4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9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6.png"/><Relationship Id="rId42" Type="http://schemas.openxmlformats.org/officeDocument/2006/relationships/image" Target="media/image24.png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image" Target="media/image18.png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3.png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7.png"/><Relationship Id="rId43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2550</Characters>
  <Application>Microsoft Office Word</Application>
  <DocSecurity>0</DocSecurity>
  <Lines>21</Lines>
  <Paragraphs>5</Paragraphs>
  <ScaleCrop>false</ScaleCrop>
  <Company>USN Team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2010-01-11T08:12:00Z</dcterms:created>
  <dcterms:modified xsi:type="dcterms:W3CDTF">2010-01-11T08:20:00Z</dcterms:modified>
</cp:coreProperties>
</file>